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B7AB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194FAF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194FAF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74FD2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="00F74FD2">
              <w:rPr>
                <w:rFonts w:ascii="Arial" w:hAnsi="Arial" w:cs="Arial"/>
                <w:i/>
                <w:sz w:val="16"/>
                <w:szCs w:val="16"/>
              </w:rPr>
              <w:t>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417B7E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2615D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2615DF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EF05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EF051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13EFA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563F3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4563F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DD" w:rsidRDefault="00BE2CDD" w:rsidP="00A63005">
      <w:pPr>
        <w:spacing w:after="0" w:line="240" w:lineRule="auto"/>
      </w:pPr>
      <w:r>
        <w:separator/>
      </w:r>
    </w:p>
  </w:endnote>
  <w:end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081D3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3A03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DD" w:rsidRDefault="00BE2CDD" w:rsidP="00A63005">
      <w:pPr>
        <w:spacing w:after="0" w:line="240" w:lineRule="auto"/>
      </w:pPr>
      <w:r>
        <w:separator/>
      </w:r>
    </w:p>
  </w:footnote>
  <w:footnote w:type="continuationSeparator" w:id="0">
    <w:p w:rsidR="00BE2CDD" w:rsidRDefault="00BE2CDD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7" ma:contentTypeDescription="Utwórz nowy dokument." ma:contentTypeScope="" ma:versionID="8e99b2e0ee191c027cd7c8df880bc810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6087d609d6a3cab7653601eed0b63f9e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88800cc-1a51-40cb-a296-91f970f1b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868f3e-18ce-4a45-8db5-dd092420023a}" ma:internalName="TaxCatchAll" ma:showField="CatchAllData" ma:web="fa60494d-b2ee-4c2c-97ad-ca23a68e0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0494d-b2ee-4c2c-97ad-ca23a68e0985" xsi:nil="true"/>
    <lcf76f155ced4ddcb4097134ff3c332f xmlns="3845189c-0ba5-41f4-82ed-f933ee5ab2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E8D312-5680-45CE-BB24-FD7415B997FD}"/>
</file>

<file path=customXml/itemProps2.xml><?xml version="1.0" encoding="utf-8"?>
<ds:datastoreItem xmlns:ds="http://schemas.openxmlformats.org/officeDocument/2006/customXml" ds:itemID="{6B01C234-4211-464F-9317-8996E528B449}"/>
</file>

<file path=customXml/itemProps3.xml><?xml version="1.0" encoding="utf-8"?>
<ds:datastoreItem xmlns:ds="http://schemas.openxmlformats.org/officeDocument/2006/customXml" ds:itemID="{C3D455CE-E5F6-46FE-9215-EDEEF6F22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7158</Words>
  <Characters>40805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KAMIŃSKA, Marta</cp:lastModifiedBy>
  <cp:revision>3</cp:revision>
  <dcterms:created xsi:type="dcterms:W3CDTF">2019-05-30T10:23:00Z</dcterms:created>
  <dcterms:modified xsi:type="dcterms:W3CDTF">2019-06-04T09:14:00Z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ContentTypeId">
    <vt:lpwstr>0x010100D0C853A721D57B4A8F1C83BFEDFEFD3C</vt:lpwstr>
  </property>
</Properties>
</file>